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7 vom 20. November 2024</w:t>
      </w:r>
    </w:p>
    <w:p>
      <w:r>
        <w:t>BL Gerichte, 2024-11-20, DE</w:t>
      </w:r>
    </w:p>
    <w:p>
      <w:r>
        <w:rPr>
          <w:b/>
        </w:rPr>
        <w:t xml:space="preserve">Quelle: </w:t>
      </w:r>
      <w:r>
        <w:t>https://mcp.opencaselaw.ch/entscheid/bl_gerichte_810 24 7</w:t>
      </w:r>
    </w:p>
    <w:p>
      <w:r>
        <w:t>FR: BL_GERICHTE 810 24 7 du 20 novembre 2024</w:t>
      </w:r>
    </w:p>
    <w:p>
      <w:r>
        <w:t>IT: BL_GERICHTE 810 24 7 del 20 novembre 2024</w:t>
      </w:r>
    </w:p>
    <w:p>
      <w:pPr>
        <w:pStyle w:val="Heading2"/>
      </w:pPr>
      <w:r>
        <w:t>Regeste</w:t>
      </w:r>
    </w:p>
    <w:p>
      <w:r>
        <w:t>Gesamtmelioration / Beizugsgebiet (Perimeter)</w:t>
      </w:r>
    </w:p>
    <w:p>
      <w:pPr>
        <w:pStyle w:val="Heading2"/>
      </w:pPr>
      <w:r>
        <w:t>Erwägungen</w:t>
      </w:r>
    </w:p>
    <w:p>
      <w:r>
        <w:rPr>
          <w:b/>
        </w:rPr>
        <w:t>E. 1</w:t>
      </w:r>
    </w:p>
    <w:p>
      <w:r>
        <w:t>§ 43 Abs. 1 des Gesetzes über die Verfassungs- und Verwaltungsprozessordnung (VPO) vom 16. Dezember 1993 hält fest, dass Entscheide des Regierungsrates der verwaltungsgerichtlichen Beschwerde unterliegen. Gemäss § 47 Abs. 1 lit. a VPO ist zur Beschwerde an das Kantonsgericht legitimiert, wer durch die angefochtene Verfügung oder den angefochtenen Entscheid berührt ist und ein schutzwürdiges Interesse an der Änderung oder Aufhebung hat. Unstreitig ist, dass der Beschwerdeführer als Eigentümer der im Beizugsperimeter liegenden Grundstücke durch den angefochtenen Entscheid berührt ist und ein schutzwürdiges Interesse an dessen Aufhebung oder Änderung hat. Auch die weiteren formellen Voraussetzungen sind erfüllt, sodass auf die frist- und formgerecht erhobene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